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p>
    <w:p>
      <w:pPr>
        <w:spacing w:line="584"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招商促进中心</w:t>
      </w:r>
    </w:p>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招商促进中心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numPr>
          <w:ilvl w:val="0"/>
          <w:numId w:val="1"/>
        </w:num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负责全县日常招商引资事务性工作；</w:t>
      </w:r>
    </w:p>
    <w:p>
      <w:pPr>
        <w:numPr>
          <w:ilvl w:val="0"/>
          <w:numId w:val="1"/>
        </w:num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负责研究有关投资动向，收集、整理国内外招商引资信息，为县领导及有关部门提供决策参考；</w:t>
      </w:r>
    </w:p>
    <w:p>
      <w:pPr>
        <w:numPr>
          <w:ilvl w:val="0"/>
          <w:numId w:val="1"/>
        </w:num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负责产业招商活动组团、联络、洽谈和跟踪、协调、服务工作；</w:t>
      </w:r>
    </w:p>
    <w:p>
      <w:pPr>
        <w:numPr>
          <w:ilvl w:val="0"/>
          <w:numId w:val="1"/>
        </w:num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负责招商引资项目的推介、洽谈和协调工作；</w:t>
      </w:r>
    </w:p>
    <w:p>
      <w:pPr>
        <w:numPr>
          <w:ilvl w:val="0"/>
          <w:numId w:val="1"/>
        </w:num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负责做好全县招商项目的收集、整理、筛选等工作；</w:t>
      </w:r>
    </w:p>
    <w:p>
      <w:pPr>
        <w:numPr>
          <w:ilvl w:val="0"/>
          <w:numId w:val="1"/>
        </w:num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负责客商联络沟通工作和来访客商接待工作，为客商提供环境考察、信息咨询、项目洽谈、政策解答等方面服务工作；</w:t>
      </w:r>
    </w:p>
    <w:p>
      <w:pPr>
        <w:numPr>
          <w:ilvl w:val="0"/>
          <w:numId w:val="1"/>
        </w:num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负责有关招商引资工作业务培训；</w:t>
      </w:r>
    </w:p>
    <w:p>
      <w:pPr>
        <w:numPr>
          <w:ilvl w:val="0"/>
          <w:numId w:val="1"/>
        </w:num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完成县委、县政府交办的其他事务性工作。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香河县招商促进中心</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eastAsia="zh-CN"/>
              </w:rPr>
              <w:t>财政性</w:t>
            </w:r>
            <w:r>
              <w:rPr>
                <w:rFonts w:hint="eastAsia" w:ascii="Times New Roman" w:hAnsi="Times New Roman" w:eastAsia="仿宋_GB2312" w:cs="Times New Roman"/>
                <w:b/>
                <w:lang w:val="en-US" w:eastAsia="zh-CN"/>
              </w:rPr>
              <w:t>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按照预算管理有关规定，目前我县部门预算的编制实行综合预算制度，即全部收入和支出都反映在预算中。香河县</w:t>
      </w:r>
      <w:r>
        <w:rPr>
          <w:rFonts w:hint="eastAsia" w:ascii="Times New Roman" w:hAnsi="Times New Roman" w:eastAsia="仿宋_GB2312" w:cs="Times New Roman"/>
          <w:sz w:val="32"/>
          <w:szCs w:val="32"/>
          <w:lang w:val="en-US" w:eastAsia="zh-CN"/>
        </w:rPr>
        <w:t>招商促进中心</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80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80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80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80</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招商经费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80</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80</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万元；项目支出增加</w:t>
      </w:r>
      <w:r>
        <w:rPr>
          <w:rFonts w:hint="eastAsia" w:ascii="Times New Roman" w:hAnsi="Times New Roman" w:eastAsia="仿宋_GB2312" w:cs="Times New Roman"/>
          <w:sz w:val="32"/>
          <w:szCs w:val="32"/>
          <w:highlight w:val="none"/>
          <w:lang w:val="en-US" w:eastAsia="zh-CN"/>
        </w:rPr>
        <w:t>80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招商经费</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香河县招商促进中心</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FF0000"/>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w:t>
      </w:r>
      <w:r>
        <w:rPr>
          <w:rFonts w:hint="eastAsia" w:ascii="Times New Roman" w:hAnsi="Times New Roman" w:eastAsia="仿宋_GB2312" w:cs="Times New Roman"/>
          <w:sz w:val="32"/>
          <w:szCs w:val="32"/>
          <w:highlight w:val="none"/>
        </w:rPr>
        <w:t>比</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r>
        <w:rPr>
          <w:rFonts w:hint="eastAsia" w:ascii="仿宋_GB2312" w:hAnsi="黑体" w:eastAsia="仿宋_GB2312" w:cs="Times New Roman"/>
          <w:sz w:val="32"/>
          <w:szCs w:val="32"/>
        </w:rPr>
        <w:t>（与部门绩效文本内容保持一致）</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3"/>
      </w:pPr>
      <w:r>
        <w:t>拜访企业数量至少120家。</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pPr>
      <w:r>
        <w:t>招商经费：</w:t>
      </w:r>
    </w:p>
    <w:p>
      <w:pPr>
        <w:pStyle w:val="24"/>
      </w:pPr>
      <w:r>
        <w:t>拜访企业数量至少120家。</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5"/>
      </w:pPr>
      <w:r>
        <w:t>1.熟悉香河县招商引资各项政策；</w:t>
      </w:r>
    </w:p>
    <w:p>
      <w:pPr>
        <w:pStyle w:val="25"/>
      </w:pPr>
      <w:r>
        <w:t>2.了解所拜访企业的项目质量及需求；</w:t>
      </w:r>
    </w:p>
    <w:p>
      <w:pPr>
        <w:pStyle w:val="25"/>
      </w:pPr>
      <w:r>
        <w:t>3.与各部门进行沟通对接，尽可能解决企业项目的难题。</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1.招商经费绩效目标表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数量指标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拜访企业数量</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拜访企业数量</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≥120家</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质量指标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拜访企业率</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拜访企业成功率</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时效指标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完成时间</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招商引资完成时间</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成本指标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单位运转及项目总成本</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单位运转及项目总成本</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≤80万元</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社会效益指标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新引进企业纳税值</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新引进企业纳税值</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≥500万元</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可持续影响指标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可持续性服务</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可持续性服务时间</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≤12月</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按实际需求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服务对象满意度指标</w:t>
            </w:r>
          </w:p>
        </w:tc>
        <w:tc>
          <w:tcPr>
            <w:tcW w:w="198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服务对象满意度（%）</w:t>
            </w:r>
          </w:p>
        </w:tc>
        <w:tc>
          <w:tcPr>
            <w:tcW w:w="3402"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招商引资服务对象满意度（%）</w:t>
            </w:r>
          </w:p>
        </w:tc>
        <w:tc>
          <w:tcPr>
            <w:tcW w:w="1843"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≥90%</w:t>
            </w:r>
          </w:p>
        </w:tc>
        <w:tc>
          <w:tcPr>
            <w:tcW w:w="2155" w:type="dxa"/>
            <w:shd w:val="clear" w:color="auto" w:fill="auto"/>
            <w:vAlign w:val="center"/>
          </w:tcPr>
          <w:p>
            <w:pPr>
              <w:pStyle w:val="18"/>
              <w:rPr>
                <w:rFonts w:ascii="方正书宋_GBK" w:hAnsi="方正书宋_GBK" w:eastAsia="方正书宋_GBK" w:cs="方正书宋_GBK"/>
                <w:kern w:val="0"/>
                <w:sz w:val="21"/>
                <w:szCs w:val="24"/>
                <w:lang w:val="en-US" w:eastAsia="uk-UA" w:bidi="ar-SA"/>
              </w:rPr>
            </w:pPr>
            <w:r>
              <w:t>电话访问</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香河县招商促进中心</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jc w:val="center"/>
              <w:rPr>
                <w:rFonts w:hint="eastAsia" w:eastAsia="方正书宋_GBK"/>
                <w:lang w:val="en-US" w:eastAsia="zh-CN"/>
              </w:rPr>
            </w:pPr>
            <w:bookmarkStart w:id="2" w:name="_GoBack"/>
            <w:bookmarkEnd w:id="2"/>
            <w:r>
              <w:rPr>
                <w:rFonts w:hint="eastAsia"/>
                <w:lang w:val="en-US" w:eastAsia="zh-CN"/>
              </w:rPr>
              <w:t>0</w:t>
            </w: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招商促进中心</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FF0000"/>
                <w:kern w:val="0"/>
                <w:sz w:val="22"/>
                <w:lang w:val="en-US"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val="en-US" w:eastAsia="zh-CN"/>
              </w:rPr>
              <w:t>招商促进中心</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1184B6"/>
    <w:multiLevelType w:val="singleLevel"/>
    <w:tmpl w:val="3D1184B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JjNzE0MjQ4N2NiYWZmMDZmMTIxYzM2MDI0Y2U1NDMifQ=="/>
  </w:docVars>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4E0B66"/>
    <w:rsid w:val="06F06E29"/>
    <w:rsid w:val="0B2A76B4"/>
    <w:rsid w:val="19226300"/>
    <w:rsid w:val="1B516A8E"/>
    <w:rsid w:val="22E959E0"/>
    <w:rsid w:val="28D96E56"/>
    <w:rsid w:val="3218513D"/>
    <w:rsid w:val="399D2584"/>
    <w:rsid w:val="410B4C57"/>
    <w:rsid w:val="42295B17"/>
    <w:rsid w:val="43C24475"/>
    <w:rsid w:val="44CB1108"/>
    <w:rsid w:val="50FE4C8E"/>
    <w:rsid w:val="6B525A27"/>
    <w:rsid w:val="70BF39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2538</Words>
  <Characters>2607</Characters>
  <Lines>31</Lines>
  <Paragraphs>8</Paragraphs>
  <TotalTime>88</TotalTime>
  <ScaleCrop>false</ScaleCrop>
  <LinksUpToDate>false</LinksUpToDate>
  <CharactersWithSpaces>2742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香河招商</cp:lastModifiedBy>
  <cp:lastPrinted>2023-01-29T01:01:00Z</cp:lastPrinted>
  <dcterms:modified xsi:type="dcterms:W3CDTF">2023-08-16T09:16:04Z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26C6C67D10A34916A3D4B7218262D262</vt:lpwstr>
  </property>
</Properties>
</file>